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5380" w:tblpY="396"/>
        <w:tblW w:w="5850" w:type="dxa"/>
        <w:tblLook w:val="04A0"/>
      </w:tblPr>
      <w:tblGrid>
        <w:gridCol w:w="5850"/>
      </w:tblGrid>
      <w:tr w:rsidR="00A80F8F" w:rsidRPr="001A1772" w:rsidTr="00A80F8F">
        <w:trPr>
          <w:trHeight w:val="800"/>
        </w:trPr>
        <w:tc>
          <w:tcPr>
            <w:tcW w:w="58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0F8F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Приложение № 2  к постановлению</w:t>
            </w:r>
          </w:p>
          <w:p w:rsidR="00A80F8F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</w:rPr>
              <w:t xml:space="preserve"> 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  <w:p w:rsidR="00A80F8F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 «Об утверждении отчета об исполнении бюджета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Times New Roman" w:eastAsia="Times New Roman" w:hAnsi="Times New Roman" w:cs="Times New Roman"/>
              </w:rPr>
              <w:t>Тресоруковского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Лискинского  муниципального района </w:t>
            </w:r>
          </w:p>
          <w:p w:rsidR="00A80F8F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>Воронежской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976DC3">
              <w:rPr>
                <w:rFonts w:ascii="Times New Roman" w:eastAsia="Times New Roman" w:hAnsi="Times New Roman" w:cs="Times New Roman"/>
              </w:rPr>
              <w:t>9 месяцев</w:t>
            </w:r>
            <w:r>
              <w:rPr>
                <w:rFonts w:ascii="Times New Roman" w:eastAsia="Times New Roman" w:hAnsi="Times New Roman" w:cs="Times New Roman"/>
              </w:rPr>
              <w:t xml:space="preserve"> 2024 года»    </w:t>
            </w:r>
          </w:p>
          <w:p w:rsidR="00A80F8F" w:rsidRPr="00602D8E" w:rsidRDefault="00A80F8F" w:rsidP="00A80F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от   </w:t>
            </w:r>
            <w:r w:rsidRPr="00602D8E">
              <w:rPr>
                <w:rFonts w:ascii="Times New Roman" w:eastAsia="Times New Roman" w:hAnsi="Times New Roman" w:cs="Times New Roman"/>
              </w:rPr>
              <w:t>«</w:t>
            </w:r>
            <w:r w:rsidR="00184C18">
              <w:rPr>
                <w:rFonts w:ascii="Times New Roman" w:eastAsia="Times New Roman" w:hAnsi="Times New Roman" w:cs="Times New Roman"/>
              </w:rPr>
              <w:t xml:space="preserve">28 » октября    </w:t>
            </w:r>
            <w:r>
              <w:rPr>
                <w:rFonts w:ascii="Times New Roman" w:eastAsia="Times New Roman" w:hAnsi="Times New Roman" w:cs="Times New Roman"/>
              </w:rPr>
              <w:t>2024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184C18">
              <w:rPr>
                <w:rFonts w:ascii="Times New Roman" w:eastAsia="Times New Roman" w:hAnsi="Times New Roman" w:cs="Times New Roman"/>
              </w:rPr>
              <w:t>86</w:t>
            </w:r>
          </w:p>
          <w:p w:rsidR="00A80F8F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F8F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0F8F" w:rsidRPr="001A1772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F8F" w:rsidRPr="001A1772" w:rsidTr="00A80F8F">
        <w:trPr>
          <w:trHeight w:val="230"/>
        </w:trPr>
        <w:tc>
          <w:tcPr>
            <w:tcW w:w="5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F8F" w:rsidRPr="001A1772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F8F" w:rsidRPr="001A1772" w:rsidTr="00A80F8F">
        <w:trPr>
          <w:trHeight w:val="230"/>
        </w:trPr>
        <w:tc>
          <w:tcPr>
            <w:tcW w:w="5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F8F" w:rsidRPr="001A1772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F8F" w:rsidRPr="001A1772" w:rsidTr="00A80F8F">
        <w:trPr>
          <w:trHeight w:val="1554"/>
        </w:trPr>
        <w:tc>
          <w:tcPr>
            <w:tcW w:w="58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0F8F" w:rsidRPr="001A1772" w:rsidRDefault="00A80F8F" w:rsidP="00A80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Spec="center" w:tblpY="209"/>
        <w:tblW w:w="4989" w:type="pct"/>
        <w:tblLook w:val="04A0"/>
      </w:tblPr>
      <w:tblGrid>
        <w:gridCol w:w="9833"/>
      </w:tblGrid>
      <w:tr w:rsidR="00A80F8F" w:rsidRPr="00693EEB" w:rsidTr="00A80F8F">
        <w:trPr>
          <w:cantSplit/>
          <w:trHeight w:val="2828"/>
        </w:trPr>
        <w:tc>
          <w:tcPr>
            <w:tcW w:w="5000" w:type="pct"/>
            <w:noWrap/>
            <w:vAlign w:val="bottom"/>
            <w:hideMark/>
          </w:tcPr>
          <w:p w:rsidR="00A80F8F" w:rsidRPr="002C76D8" w:rsidRDefault="00A80F8F" w:rsidP="00A80F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A80F8F" w:rsidRPr="002C76D8" w:rsidRDefault="00A80F8F" w:rsidP="00A80F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A80F8F" w:rsidRPr="002C76D8" w:rsidRDefault="00A80F8F" w:rsidP="00A80F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Тресоруковского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A80F8F" w:rsidRPr="002C76D8" w:rsidRDefault="00A80F8F" w:rsidP="00A80F8F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Лискинского муниципального района Воронежской области                      </w:t>
            </w:r>
          </w:p>
          <w:p w:rsidR="00A80F8F" w:rsidRPr="002C76D8" w:rsidRDefault="00A80F8F" w:rsidP="00A80F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2024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A80F8F" w:rsidRPr="002C76D8" w:rsidRDefault="00A80F8F" w:rsidP="00A80F8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4870" w:type="pct"/>
        <w:tblLook w:val="04A0"/>
      </w:tblPr>
      <w:tblGrid>
        <w:gridCol w:w="3373"/>
        <w:gridCol w:w="1824"/>
        <w:gridCol w:w="691"/>
        <w:gridCol w:w="549"/>
        <w:gridCol w:w="553"/>
        <w:gridCol w:w="1261"/>
        <w:gridCol w:w="1348"/>
      </w:tblGrid>
      <w:tr w:rsidR="00F238E7" w:rsidTr="00A80F8F">
        <w:trPr>
          <w:cantSplit/>
          <w:trHeight w:val="520"/>
          <w:tblHeader/>
        </w:trPr>
        <w:tc>
          <w:tcPr>
            <w:tcW w:w="17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8E7" w:rsidRDefault="00F238E7" w:rsidP="00F238E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(тыс.руб.)</w:t>
            </w:r>
          </w:p>
        </w:tc>
      </w:tr>
      <w:tr w:rsidR="00F238E7" w:rsidTr="00A80F8F">
        <w:trPr>
          <w:cantSplit/>
          <w:trHeight w:val="2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на  2024          год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38E7" w:rsidRDefault="00F238E7" w:rsidP="00976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 на      01.</w:t>
            </w:r>
            <w:r w:rsidR="00976D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</w:tc>
      </w:tr>
      <w:tr w:rsidR="00F238E7" w:rsidTr="00A80F8F">
        <w:trPr>
          <w:cantSplit/>
          <w:trHeight w:val="60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75151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44949,7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75151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36185,7</w:t>
            </w:r>
          </w:p>
        </w:tc>
      </w:tr>
      <w:tr w:rsidR="00976DC3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Pr="00F75151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5418,4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Pr="00F75151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51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3429,7</w:t>
            </w:r>
          </w:p>
        </w:tc>
      </w:tr>
      <w:tr w:rsidR="00976DC3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5418,4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3429,7</w:t>
            </w:r>
          </w:p>
        </w:tc>
      </w:tr>
      <w:tr w:rsidR="00F238E7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5418,4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3429,7</w:t>
            </w:r>
          </w:p>
        </w:tc>
      </w:tr>
      <w:tr w:rsidR="00F238E7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3431,0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2005,8</w:t>
            </w:r>
          </w:p>
        </w:tc>
      </w:tr>
      <w:tr w:rsidR="00F238E7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1983,4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1423,9</w:t>
            </w:r>
          </w:p>
        </w:tc>
      </w:tr>
      <w:tr w:rsidR="00F238E7" w:rsidTr="00A80F8F">
        <w:trPr>
          <w:cantSplit/>
          <w:trHeight w:val="37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учреждений культуры (Иные бюджетные ассигнования))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36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11491,5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7319,6</w:t>
            </w:r>
          </w:p>
        </w:tc>
      </w:tr>
      <w:tr w:rsidR="00976DC3" w:rsidTr="00A80F8F">
        <w:trPr>
          <w:cantSplit/>
          <w:trHeight w:val="36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2.1.Подпрограмма «Функционирование главы муниципального образования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1060,3</w:t>
            </w:r>
          </w:p>
        </w:tc>
      </w:tr>
      <w:tr w:rsidR="00976DC3" w:rsidTr="00A80F8F">
        <w:trPr>
          <w:cantSplit/>
          <w:trHeight w:val="849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1060,3</w:t>
            </w:r>
          </w:p>
        </w:tc>
      </w:tr>
      <w:tr w:rsidR="00F238E7" w:rsidTr="00A80F8F">
        <w:trPr>
          <w:cantSplit/>
          <w:trHeight w:val="155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главы муниципального образования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16 1 01 92021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1060,3</w:t>
            </w:r>
          </w:p>
        </w:tc>
      </w:tr>
      <w:tr w:rsidR="00976DC3" w:rsidTr="00A80F8F">
        <w:trPr>
          <w:cantSplit/>
          <w:trHeight w:val="539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1454,2</w:t>
            </w:r>
          </w:p>
        </w:tc>
      </w:tr>
      <w:tr w:rsidR="00F238E7" w:rsidTr="00A80F8F">
        <w:trPr>
          <w:cantSplit/>
          <w:trHeight w:val="652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функций органов местной администрации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1454,2</w:t>
            </w:r>
          </w:p>
        </w:tc>
      </w:tr>
      <w:tr w:rsidR="00F238E7" w:rsidTr="00A80F8F">
        <w:trPr>
          <w:cantSplit/>
          <w:trHeight w:val="1372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1262,0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местных администраций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042961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DC3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042961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976DC3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6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3805,8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обеспечение деятельности подведомственных учреждений»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5336,4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3676,9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976D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6D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3150,8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524,9</w:t>
            </w:r>
          </w:p>
        </w:tc>
      </w:tr>
      <w:tr w:rsidR="00F238E7" w:rsidTr="00A80F8F">
        <w:trPr>
          <w:cantSplit/>
          <w:trHeight w:val="1316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163 01 00590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16 3 02 00000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296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38E7" w:rsidTr="00A80F8F">
        <w:trPr>
          <w:cantSplit/>
          <w:trHeight w:val="316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16 3 02 90200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04296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429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16 3 02 90200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2.4.Подпрограмма «Повышение устойчивости бюджета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309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Резервный фонд администрации Тресоруковского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 (Иные бюджетные ассигнования)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16 4 01 90 570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«Процентные платежи по муниципальному долгу поселения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16 4 02 00000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(Обслуживание государственного (муниципального) внутреннего долга)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16 4 03 00000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осуществление части полномочий,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B31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1B315F" w:rsidP="00F238E7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398,8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в сфере защиты населения от чрезвычайных ситуаций и пожаров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16 5 01 91430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защиты населения от пожаров (Безвозмездные перечисления организациям, за исключением государственных и муниципальных организаций в соответствии с заключенными соглашениями)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16 5 02 91440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16 5 01 91430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309,1</w:t>
            </w:r>
          </w:p>
        </w:tc>
      </w:tr>
      <w:tr w:rsidR="00976DC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2.6.Подпрограмма «Социальная поддержка граждан»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976DC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«Доплаты к пенсиям муниципальных служащих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доплаты к пенсиям муниципальных служащих местной администрации (Социальное обеспечение и иные выплаты населению)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976DC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в области физической культуры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6DC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16 7 01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S8790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 обеспечение 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16 7 01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S8790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tabs>
                <w:tab w:val="left" w:pos="3710"/>
              </w:tabs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6DC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</w:t>
            </w:r>
            <w:r w:rsidR="00976D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307,4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976DC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учёта на территориях, где отсутствуют военные комиссариаты ((Закупка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6DC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2.9.Подпрограмма «Развитие градостроительной деятельности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6DC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6DC3" w:rsidRDefault="00976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C3" w:rsidRDefault="00976DC3" w:rsidP="00976D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16 9 01 90850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Муниципальная Программа «Развитие территории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 w:rsidP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5A0193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5A019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2119,3</w:t>
            </w:r>
          </w:p>
        </w:tc>
      </w:tr>
      <w:tr w:rsidR="005A019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3.1.Подпрограмма «Развитие сети уличного освещения»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1088,6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по организации уличного освещения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1851,7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1088,6</w:t>
            </w:r>
          </w:p>
        </w:tc>
      </w:tr>
      <w:tr w:rsidR="00F238E7" w:rsidTr="00A80F8F">
        <w:trPr>
          <w:cantSplit/>
          <w:trHeight w:val="38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 компенсацию дополнительных расходов , возникших в результате решений ,принятых органами власти другого уровня,  за счет средств областного бюджета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19 2 01 70100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848,1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организации уличного освещения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3.2.Подпрограмма «Благоустройство территории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 w:rsidP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436,3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416,8</w:t>
            </w:r>
          </w:p>
        </w:tc>
      </w:tr>
      <w:tr w:rsidR="00F238E7" w:rsidTr="00A80F8F">
        <w:trPr>
          <w:cantSplit/>
          <w:trHeight w:val="450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реализацию природоохранных мероприятий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19 3 01 88050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C2108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316,8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19 3 02 90700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5A019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209,9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организации ритуальных услуг и содержанию мест захоронения»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209,9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19 4 01 90600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Pr="005A0193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P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</w:tr>
      <w:tr w:rsidR="00F238E7" w:rsidTr="00A80F8F">
        <w:trPr>
          <w:cantSplit/>
          <w:trHeight w:val="39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нужд)(средства областного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Pr="005A0193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P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</w:tr>
      <w:tr w:rsidR="00F238E7" w:rsidTr="00A80F8F">
        <w:trPr>
          <w:cantSplit/>
          <w:trHeight w:val="415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ритуальных услуг и содержанию мест захоронения (Закупка товаров работ и услуг для муниципальных нужд)(средства местного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19 4 01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5A01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3.4.Подпрограмма «Повышение э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нергетической эффективности и сокращение энегритических издержек в учреждениях 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/>
              <w:rPr>
                <w:rFonts w:cs="Times New Roman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/>
              <w:rPr>
                <w:rFonts w:cs="Times New Roman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/>
              <w:rPr>
                <w:rFonts w:cs="Times New Roman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«Мероприятия по повышению энергетической эффективности , сокращению энергетических издержек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энергетической эффективности, сокращению энергетических издержек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F238E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A019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 Подпрограмма «Благоустройство мест массового отдыха»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</w:tr>
      <w:tr w:rsidR="00C2108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«Расходы на благоустройство мест массового отдыха населения, спортивных и детских площадок на территории сельского поселения территории сельского поселения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1087" w:rsidRDefault="00C21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21087" w:rsidRDefault="005A0193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1087" w:rsidRDefault="00C2108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благоустройству мест массового отдыха населения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19 8 01 90520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3.6.Подпрограмма «Реконструкция и строительство сетей объектов            водоснабжения и водоотведения в Тресоруковском сельском поселении»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«Реконструкция и строительство  изношенных водопроводных сетей»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реконструкции и строительству  изношенных водопроводных сетей и объектов водоснабжения,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19 5 01 90500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19 5 02 00000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19 5 02 98500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Муниципальная 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238E7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4.1.Подппрограмма «Использование и охрана земель на территории Тресоруковского сельского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05 1 0000000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238E7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238E7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238E7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F238E7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</w:tr>
      <w:tr w:rsidR="005A019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before="80"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 Муниципальная Программа «Развитие  транспортной системы»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193" w:rsidRP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01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24586,9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93" w:rsidRP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01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23317,1</w:t>
            </w:r>
          </w:p>
        </w:tc>
      </w:tr>
      <w:tr w:rsidR="005A0193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before="8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5.2.Подпрограмма «Капитальный ремонт и  ремонт автомобильных дорог общего пользования местного значения на территории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Тресоруковского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0193" w:rsidRDefault="005A0193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193" w:rsidRDefault="005A0193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24586,9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0193" w:rsidRDefault="005A0193" w:rsidP="00766E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23317,1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pStyle w:val="a7"/>
              <w:spacing w:after="0" w:afterAutospacing="0" w:line="276" w:lineRule="auto"/>
              <w:ind w:firstLine="0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Основное мероприятие «</w:t>
            </w:r>
            <w:r>
              <w:rPr>
                <w:rFonts w:ascii="Times New Roman" w:hAnsi="Times New Roman"/>
                <w:bCs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>
              <w:rPr>
                <w:rFonts w:ascii="Times New Roman" w:hAnsi="Times New Roman"/>
                <w:color w:val="000000"/>
              </w:rPr>
              <w:t>Тресоруковского</w:t>
            </w:r>
            <w:r>
              <w:rPr>
                <w:rFonts w:ascii="Times New Roman" w:hAnsi="Times New Roman"/>
                <w:bCs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/>
              </w:rPr>
              <w:t xml:space="preserve"> »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  <w:r w:rsidR="005A0193">
              <w:rPr>
                <w:rFonts w:ascii="Times New Roman" w:hAnsi="Times New Roman" w:cs="Times New Roman"/>
                <w:bCs/>
                <w:sz w:val="24"/>
                <w:szCs w:val="24"/>
              </w:rPr>
              <w:t>586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5A019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23317,1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Тресоруковского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дорог) (Закупка товаров работ и услуг для муниципальных нужд) (средства местного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24 2 01 81290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C21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3538,0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Тресоруковского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дорог) (Закупка товаров работ и услуг для муниципальных нужд) (средства областного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 w:rsidP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2108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5A01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01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17730,8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 капитальному ремонту и ремонту дорог  общего пользования местного значения на территории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Тресоруковского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дорог)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капитальному ремонту автомобильной дороги по ул.Гагарина-2 с.Тресоруково(Закупка товаров работ и услуг для муниципальных нужд) (средства областного бюджета)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5A01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F238E7" w:rsidTr="00A80F8F">
        <w:trPr>
          <w:cantSplit/>
          <w:trHeight w:val="23"/>
        </w:trPr>
        <w:tc>
          <w:tcPr>
            <w:tcW w:w="1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капитальному ремонту автомобильной дороги по ул.Гагарина-2 с.Тресоруково (средства местного бюджета) софинансирование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38E7" w:rsidRDefault="00F23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24 2 01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firstLine="33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before="60" w:after="0" w:line="240" w:lineRule="auto"/>
              <w:ind w:hanging="108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38E7" w:rsidRDefault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8E7" w:rsidRDefault="005A0193" w:rsidP="00F238E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323,2</w:t>
            </w:r>
          </w:p>
        </w:tc>
      </w:tr>
    </w:tbl>
    <w:p w:rsidR="000D0F43" w:rsidRPr="00E67BD3" w:rsidRDefault="000D0F43" w:rsidP="000D0F43">
      <w:pPr>
        <w:rPr>
          <w:vanish/>
        </w:rPr>
      </w:pPr>
    </w:p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508" w:rsidRDefault="00E25508" w:rsidP="001A1772">
      <w:pPr>
        <w:spacing w:after="0" w:line="240" w:lineRule="auto"/>
      </w:pPr>
      <w:r>
        <w:separator/>
      </w:r>
    </w:p>
  </w:endnote>
  <w:endnote w:type="continuationSeparator" w:id="1">
    <w:p w:rsidR="00E25508" w:rsidRDefault="00E25508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508" w:rsidRDefault="00E25508" w:rsidP="001A1772">
      <w:pPr>
        <w:spacing w:after="0" w:line="240" w:lineRule="auto"/>
      </w:pPr>
      <w:r>
        <w:separator/>
      </w:r>
    </w:p>
  </w:footnote>
  <w:footnote w:type="continuationSeparator" w:id="1">
    <w:p w:rsidR="00E25508" w:rsidRDefault="00E25508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B96E1C"/>
    <w:rsid w:val="00001909"/>
    <w:rsid w:val="00042961"/>
    <w:rsid w:val="000A0D90"/>
    <w:rsid w:val="000D0F43"/>
    <w:rsid w:val="000E1709"/>
    <w:rsid w:val="00117D12"/>
    <w:rsid w:val="00151D97"/>
    <w:rsid w:val="00166EC7"/>
    <w:rsid w:val="00184858"/>
    <w:rsid w:val="00184C18"/>
    <w:rsid w:val="001A1772"/>
    <w:rsid w:val="001B315F"/>
    <w:rsid w:val="001E6F11"/>
    <w:rsid w:val="00212054"/>
    <w:rsid w:val="002526B5"/>
    <w:rsid w:val="002844AF"/>
    <w:rsid w:val="002A47FB"/>
    <w:rsid w:val="002B4EEA"/>
    <w:rsid w:val="002B76B0"/>
    <w:rsid w:val="002C76D8"/>
    <w:rsid w:val="002E22EB"/>
    <w:rsid w:val="00340EF5"/>
    <w:rsid w:val="0039164F"/>
    <w:rsid w:val="003D5689"/>
    <w:rsid w:val="003E08B7"/>
    <w:rsid w:val="0041631C"/>
    <w:rsid w:val="00417D62"/>
    <w:rsid w:val="00427110"/>
    <w:rsid w:val="004331AC"/>
    <w:rsid w:val="0045582F"/>
    <w:rsid w:val="004829B2"/>
    <w:rsid w:val="004B1FA8"/>
    <w:rsid w:val="00516C63"/>
    <w:rsid w:val="00543D0D"/>
    <w:rsid w:val="00561B0B"/>
    <w:rsid w:val="005A0193"/>
    <w:rsid w:val="00602D8E"/>
    <w:rsid w:val="006479D2"/>
    <w:rsid w:val="00695075"/>
    <w:rsid w:val="006C5831"/>
    <w:rsid w:val="00727821"/>
    <w:rsid w:val="00751F72"/>
    <w:rsid w:val="00752B8F"/>
    <w:rsid w:val="00790DD6"/>
    <w:rsid w:val="007B76C4"/>
    <w:rsid w:val="007C4BF1"/>
    <w:rsid w:val="007F3B16"/>
    <w:rsid w:val="008601B6"/>
    <w:rsid w:val="00872F2F"/>
    <w:rsid w:val="008944CA"/>
    <w:rsid w:val="008C217F"/>
    <w:rsid w:val="009159D7"/>
    <w:rsid w:val="009163F2"/>
    <w:rsid w:val="00970A6B"/>
    <w:rsid w:val="00976DC3"/>
    <w:rsid w:val="0099374C"/>
    <w:rsid w:val="009A5843"/>
    <w:rsid w:val="009B3917"/>
    <w:rsid w:val="009C1C0B"/>
    <w:rsid w:val="00A80F8F"/>
    <w:rsid w:val="00AA3644"/>
    <w:rsid w:val="00AC2FDE"/>
    <w:rsid w:val="00AC6488"/>
    <w:rsid w:val="00AF0D1B"/>
    <w:rsid w:val="00B00486"/>
    <w:rsid w:val="00B308FD"/>
    <w:rsid w:val="00B96E1C"/>
    <w:rsid w:val="00C07A98"/>
    <w:rsid w:val="00C16214"/>
    <w:rsid w:val="00C20DB8"/>
    <w:rsid w:val="00C21087"/>
    <w:rsid w:val="00C46716"/>
    <w:rsid w:val="00C60704"/>
    <w:rsid w:val="00CC7D36"/>
    <w:rsid w:val="00D425AB"/>
    <w:rsid w:val="00D65EB2"/>
    <w:rsid w:val="00D72C9D"/>
    <w:rsid w:val="00DC3F44"/>
    <w:rsid w:val="00DE4844"/>
    <w:rsid w:val="00DF069D"/>
    <w:rsid w:val="00DF2FA1"/>
    <w:rsid w:val="00E15058"/>
    <w:rsid w:val="00E25508"/>
    <w:rsid w:val="00E60C21"/>
    <w:rsid w:val="00EA0938"/>
    <w:rsid w:val="00EA7CB4"/>
    <w:rsid w:val="00EB6EA2"/>
    <w:rsid w:val="00EF6ABD"/>
    <w:rsid w:val="00F238E7"/>
    <w:rsid w:val="00F40DED"/>
    <w:rsid w:val="00F75151"/>
    <w:rsid w:val="00FB2CD4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paragraph" w:styleId="1">
    <w:name w:val="heading 1"/>
    <w:aliases w:val="!Части документа"/>
    <w:basedOn w:val="a"/>
    <w:next w:val="a"/>
    <w:link w:val="10"/>
    <w:qFormat/>
    <w:rsid w:val="00F238E7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semiHidden/>
    <w:unhideWhenUsed/>
    <w:qFormat/>
    <w:rsid w:val="00F238E7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Times New Roman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F238E7"/>
    <w:pPr>
      <w:spacing w:after="0" w:line="240" w:lineRule="auto"/>
      <w:ind w:firstLine="567"/>
      <w:jc w:val="both"/>
      <w:outlineLvl w:val="2"/>
    </w:pPr>
    <w:rPr>
      <w:rFonts w:ascii="Arial" w:eastAsia="Times New Roman" w:hAnsi="Arial" w:cs="Times New Roman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F238E7"/>
    <w:pPr>
      <w:spacing w:after="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rsid w:val="001A1772"/>
  </w:style>
  <w:style w:type="paragraph" w:styleId="a7">
    <w:name w:val="Normal (Web)"/>
    <w:basedOn w:val="a"/>
    <w:uiPriority w:val="99"/>
    <w:unhideWhenUsed/>
    <w:rsid w:val="000D0F4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238E7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semiHidden/>
    <w:rsid w:val="00F238E7"/>
    <w:rPr>
      <w:rFonts w:ascii="Arial" w:eastAsia="Times New Roman" w:hAnsi="Arial" w:cs="Times New Roman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F238E7"/>
    <w:rPr>
      <w:rFonts w:ascii="Arial" w:eastAsia="Times New Roman" w:hAnsi="Arial" w:cs="Times New Roman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F238E7"/>
    <w:rPr>
      <w:rFonts w:ascii="Arial" w:eastAsia="Times New Roman" w:hAnsi="Arial" w:cs="Times New Roman"/>
      <w:b/>
      <w:bCs/>
      <w:sz w:val="26"/>
      <w:szCs w:val="28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9"/>
    <w:semiHidden/>
    <w:locked/>
    <w:rsid w:val="00F238E7"/>
    <w:rPr>
      <w:rFonts w:ascii="Courier" w:eastAsia="Times New Roman" w:hAnsi="Courier" w:cs="Times New Roman"/>
      <w:szCs w:val="20"/>
    </w:rPr>
  </w:style>
  <w:style w:type="paragraph" w:styleId="a9">
    <w:name w:val="annotation text"/>
    <w:aliases w:val="!Равноширинный текст документа"/>
    <w:basedOn w:val="a"/>
    <w:link w:val="a8"/>
    <w:semiHidden/>
    <w:unhideWhenUsed/>
    <w:rsid w:val="00F238E7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11">
    <w:name w:val="Текст примечания Знак1"/>
    <w:aliases w:val="!Равноширинный текст документа Знак1"/>
    <w:basedOn w:val="a0"/>
    <w:link w:val="a9"/>
    <w:semiHidden/>
    <w:rsid w:val="00F238E7"/>
    <w:rPr>
      <w:sz w:val="20"/>
      <w:szCs w:val="20"/>
    </w:rPr>
  </w:style>
  <w:style w:type="paragraph" w:styleId="aa">
    <w:name w:val="Title"/>
    <w:basedOn w:val="a"/>
    <w:next w:val="a"/>
    <w:link w:val="12"/>
    <w:uiPriority w:val="99"/>
    <w:qFormat/>
    <w:rsid w:val="00F238E7"/>
    <w:pPr>
      <w:spacing w:before="240" w:after="60" w:line="240" w:lineRule="auto"/>
      <w:ind w:firstLine="567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12">
    <w:name w:val="Название Знак1"/>
    <w:basedOn w:val="a0"/>
    <w:link w:val="aa"/>
    <w:uiPriority w:val="99"/>
    <w:locked/>
    <w:rsid w:val="00F238E7"/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F238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Основной текст Знак"/>
    <w:basedOn w:val="a0"/>
    <w:link w:val="ad"/>
    <w:uiPriority w:val="99"/>
    <w:semiHidden/>
    <w:rsid w:val="00F238E7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uiPriority w:val="99"/>
    <w:semiHidden/>
    <w:unhideWhenUsed/>
    <w:rsid w:val="00F238E7"/>
    <w:pPr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f"/>
    <w:uiPriority w:val="99"/>
    <w:semiHidden/>
    <w:rsid w:val="00F238E7"/>
    <w:rPr>
      <w:rFonts w:ascii="Arial" w:eastAsia="Times New Roman" w:hAnsi="Arial" w:cs="Times New Roman"/>
      <w:sz w:val="28"/>
      <w:szCs w:val="24"/>
    </w:rPr>
  </w:style>
  <w:style w:type="paragraph" w:styleId="af">
    <w:name w:val="Body Text Indent"/>
    <w:basedOn w:val="a"/>
    <w:link w:val="ae"/>
    <w:uiPriority w:val="99"/>
    <w:semiHidden/>
    <w:unhideWhenUsed/>
    <w:rsid w:val="00F238E7"/>
    <w:pPr>
      <w:spacing w:after="0" w:line="240" w:lineRule="auto"/>
      <w:ind w:firstLine="708"/>
      <w:jc w:val="both"/>
    </w:pPr>
    <w:rPr>
      <w:rFonts w:ascii="Arial" w:eastAsia="Times New Roman" w:hAnsi="Arial" w:cs="Times New Roman"/>
      <w:sz w:val="28"/>
      <w:szCs w:val="24"/>
    </w:rPr>
  </w:style>
  <w:style w:type="character" w:customStyle="1" w:styleId="af0">
    <w:name w:val="Текст Знак"/>
    <w:basedOn w:val="a0"/>
    <w:link w:val="af1"/>
    <w:uiPriority w:val="99"/>
    <w:semiHidden/>
    <w:rsid w:val="00F238E7"/>
    <w:rPr>
      <w:rFonts w:ascii="Courier New" w:eastAsia="Times New Roman" w:hAnsi="Courier New" w:cs="Times New Roman"/>
      <w:sz w:val="20"/>
      <w:szCs w:val="20"/>
    </w:rPr>
  </w:style>
  <w:style w:type="paragraph" w:styleId="af1">
    <w:name w:val="Plain Text"/>
    <w:basedOn w:val="a"/>
    <w:link w:val="af0"/>
    <w:uiPriority w:val="99"/>
    <w:semiHidden/>
    <w:unhideWhenUsed/>
    <w:rsid w:val="00F238E7"/>
    <w:pPr>
      <w:spacing w:after="0" w:line="240" w:lineRule="auto"/>
      <w:ind w:firstLine="567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Текст выноски Знак"/>
    <w:basedOn w:val="a0"/>
    <w:link w:val="af3"/>
    <w:uiPriority w:val="99"/>
    <w:semiHidden/>
    <w:rsid w:val="00F238E7"/>
    <w:rPr>
      <w:rFonts w:ascii="Tahoma" w:eastAsia="Times New Roman" w:hAnsi="Tahoma" w:cs="Times New Roman"/>
      <w:sz w:val="16"/>
      <w:szCs w:val="16"/>
    </w:rPr>
  </w:style>
  <w:style w:type="paragraph" w:styleId="af3">
    <w:name w:val="Balloon Text"/>
    <w:basedOn w:val="a"/>
    <w:link w:val="af2"/>
    <w:uiPriority w:val="99"/>
    <w:semiHidden/>
    <w:unhideWhenUsed/>
    <w:rsid w:val="00F238E7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Инна</cp:lastModifiedBy>
  <cp:revision>2</cp:revision>
  <dcterms:created xsi:type="dcterms:W3CDTF">2024-10-28T06:05:00Z</dcterms:created>
  <dcterms:modified xsi:type="dcterms:W3CDTF">2024-10-28T06:05:00Z</dcterms:modified>
</cp:coreProperties>
</file>