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66" w:rsidRPr="005F04AD" w:rsidRDefault="00F85A66" w:rsidP="00F85A66">
      <w:pPr>
        <w:pStyle w:val="a6"/>
        <w:jc w:val="center"/>
        <w:rPr>
          <w:b/>
        </w:rPr>
      </w:pPr>
      <w:bookmarkStart w:id="0" w:name="_GoBack"/>
      <w:r w:rsidRPr="005F04AD">
        <w:rPr>
          <w:b/>
        </w:rPr>
        <w:t>АДМИНИСТРАЦИЯ</w:t>
      </w:r>
    </w:p>
    <w:p w:rsidR="00F85A66" w:rsidRPr="005F04AD" w:rsidRDefault="00F85A66" w:rsidP="00F85A66">
      <w:pPr>
        <w:pStyle w:val="a6"/>
        <w:jc w:val="center"/>
        <w:rPr>
          <w:b/>
        </w:rPr>
      </w:pPr>
      <w:r>
        <w:rPr>
          <w:b/>
        </w:rPr>
        <w:t>ТРЕСОРУКОВСКОГО</w:t>
      </w:r>
      <w:r w:rsidRPr="005F04AD">
        <w:rPr>
          <w:b/>
        </w:rPr>
        <w:t xml:space="preserve"> СЕЛЬСКОГО  ПОСЕЛЕНИЯ</w:t>
      </w:r>
    </w:p>
    <w:p w:rsidR="00F85A66" w:rsidRPr="005F04AD" w:rsidRDefault="00F85A66" w:rsidP="00F85A66">
      <w:pPr>
        <w:pStyle w:val="a6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F85A66" w:rsidRPr="005F04AD" w:rsidRDefault="00F85A66" w:rsidP="00F85A66">
      <w:pPr>
        <w:pStyle w:val="a6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F85A66" w:rsidRPr="005F04AD" w:rsidRDefault="00F85A66" w:rsidP="00F85A66">
      <w:pPr>
        <w:pStyle w:val="a6"/>
        <w:jc w:val="center"/>
      </w:pPr>
      <w:r w:rsidRPr="005F04AD">
        <w:t>_____________________________________________</w:t>
      </w:r>
    </w:p>
    <w:p w:rsidR="00F85A66" w:rsidRPr="005F04AD" w:rsidRDefault="00F85A66" w:rsidP="00F85A66">
      <w:pPr>
        <w:pStyle w:val="a6"/>
        <w:jc w:val="center"/>
        <w:rPr>
          <w:b/>
        </w:rPr>
      </w:pPr>
    </w:p>
    <w:p w:rsidR="00F85A66" w:rsidRPr="005F04AD" w:rsidRDefault="00F85A66" w:rsidP="00F85A66">
      <w:pPr>
        <w:pStyle w:val="a6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F85A66" w:rsidRPr="005F04AD" w:rsidRDefault="00F85A66" w:rsidP="00F85A66">
      <w:pPr>
        <w:pStyle w:val="a6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>от  23.08.</w:t>
      </w:r>
      <w:r>
        <w:rPr>
          <w:b/>
          <w:bCs/>
          <w:spacing w:val="-4"/>
          <w:u w:val="single"/>
          <w:lang w:eastAsia="ar-SA"/>
        </w:rPr>
        <w:t>2024</w:t>
      </w:r>
      <w:r w:rsidRPr="005F04AD">
        <w:rPr>
          <w:b/>
          <w:bCs/>
          <w:spacing w:val="-4"/>
          <w:u w:val="single"/>
          <w:lang w:eastAsia="ar-SA"/>
        </w:rPr>
        <w:t xml:space="preserve">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>
        <w:rPr>
          <w:b/>
          <w:bCs/>
          <w:spacing w:val="-4"/>
          <w:lang w:eastAsia="ar-SA"/>
        </w:rPr>
        <w:t>57</w:t>
      </w:r>
      <w:r>
        <w:rPr>
          <w:b/>
          <w:bCs/>
          <w:spacing w:val="-4"/>
          <w:u w:val="single"/>
          <w:lang w:eastAsia="ar-SA"/>
        </w:rPr>
        <w:t xml:space="preserve">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F85A66" w:rsidRPr="005F04AD" w:rsidTr="00850ABE">
        <w:trPr>
          <w:trHeight w:val="218"/>
        </w:trPr>
        <w:tc>
          <w:tcPr>
            <w:tcW w:w="6400" w:type="dxa"/>
          </w:tcPr>
          <w:p w:rsidR="00F85A66" w:rsidRPr="002B50C4" w:rsidRDefault="00F85A66" w:rsidP="00850ABE">
            <w:pPr>
              <w:pStyle w:val="a6"/>
              <w:ind w:right="-3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B50C4">
              <w:rPr>
                <w:sz w:val="20"/>
                <w:szCs w:val="20"/>
              </w:rPr>
              <w:t>с. Тресоруково</w:t>
            </w:r>
          </w:p>
        </w:tc>
        <w:tc>
          <w:tcPr>
            <w:tcW w:w="3936" w:type="dxa"/>
          </w:tcPr>
          <w:p w:rsidR="00F85A66" w:rsidRPr="005F04AD" w:rsidRDefault="00F85A66" w:rsidP="00850ABE">
            <w:pPr>
              <w:pStyle w:val="a6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F85A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</w:t>
      </w:r>
      <w:proofErr w:type="spellStart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наймодателями</w:t>
      </w:r>
      <w:proofErr w:type="spellEnd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="00F85A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</w:t>
      </w:r>
      <w:proofErr w:type="gramEnd"/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социального использования</w:t>
      </w:r>
    </w:p>
    <w:bookmarkEnd w:id="0"/>
    <w:p w:rsidR="005F3171" w:rsidRP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Тресоруковский</w:t>
      </w:r>
      <w:proofErr w:type="spellEnd"/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Минько</w:t>
      </w:r>
      <w:proofErr w:type="spellEnd"/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</w:p>
    <w:p w:rsidR="00CB51AD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Минько</w:t>
      </w:r>
      <w:proofErr w:type="spellEnd"/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CB51AD" w:rsidRDefault="00CB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3171" w:rsidRP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1835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6318"/>
        <w:gridCol w:w="5517"/>
      </w:tblGrid>
      <w:tr w:rsidR="007D7AB2" w:rsidRPr="007D7AB2" w:rsidTr="007D7AB2">
        <w:trPr>
          <w:jc w:val="center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234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 w:rsidR="0068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Тресоруковского</w:t>
            </w:r>
          </w:p>
          <w:p w:rsid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 от</w:t>
            </w:r>
            <w:r w:rsidR="00F8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23.08.2024 года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8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r w:rsidR="0068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В случае, если в результате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По результатам рассмотрения заявления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от«_____»__________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92"/>
        <w:gridCol w:w="3810"/>
        <w:gridCol w:w="2508"/>
        <w:gridCol w:w="1676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«____»___________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(подпись)                                 (дата)</w:t>
      </w:r>
    </w:p>
    <w:p w:rsidR="007D7AB2" w:rsidRPr="007D7AB2" w:rsidRDefault="008A43EE" w:rsidP="00F85A6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25"/>
        <w:gridCol w:w="972"/>
        <w:gridCol w:w="1516"/>
        <w:gridCol w:w="1133"/>
        <w:gridCol w:w="678"/>
        <w:gridCol w:w="782"/>
        <w:gridCol w:w="1095"/>
        <w:gridCol w:w="1037"/>
        <w:gridCol w:w="1550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поступле-ния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год </w:t>
            </w: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колонке 1 таблицы указывается присвоенный заявителю порядковый номер по реестру, например: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_________(должность исполнителя, отправившего, расписку)_______ (Ф.И.О.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социального использования площадью 74, 7 кв. м по адресу</w:t>
      </w:r>
      <w:proofErr w:type="gramStart"/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оронежская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Тресоруково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Почтовая, д.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7D7AB2" w:rsidRPr="007D7AB2" w:rsidRDefault="008A43EE" w:rsidP="00F85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(отчество указывается при наличии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«___»__________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«____»____________20_____г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  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BA7AA7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Приложение № 2 к постановлению администрации </w:t>
      </w:r>
      <w:r w:rsidR="006822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от </w:t>
      </w:r>
      <w:r w:rsidR="00F85A6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23.08.2024 года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№</w:t>
      </w:r>
      <w:r w:rsidR="00F85A6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57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proofErr w:type="spellStart"/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MicrosoftWordforWindows</w:t>
      </w:r>
      <w:proofErr w:type="gramStart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</w:t>
      </w:r>
      <w:proofErr w:type="spellEnd"/>
      <w:proofErr w:type="gramEnd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форме, установленной администрацией </w:t>
      </w:r>
      <w:proofErr w:type="spellStart"/>
      <w:r w:rsidR="0068223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Тресоруковского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сельского</w:t>
      </w:r>
      <w:proofErr w:type="spellEnd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сети "Интернет»: https://nizhneikoreckoe-r20.gosweb.gosuslugi.ru.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F8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сайте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6822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tresorukovskoe</w:t>
      </w:r>
      <w:proofErr w:type="spellEnd"/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-r20.gosweb.gosuslugi.ru.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Предоставление информации по письменному запросу осуществляется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8A43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156EC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66883"/>
    <w:rsid w:val="00486DE3"/>
    <w:rsid w:val="004C64C9"/>
    <w:rsid w:val="004F1189"/>
    <w:rsid w:val="00504553"/>
    <w:rsid w:val="005631D5"/>
    <w:rsid w:val="0057210A"/>
    <w:rsid w:val="005A3AC3"/>
    <w:rsid w:val="005C5808"/>
    <w:rsid w:val="005F3171"/>
    <w:rsid w:val="00637835"/>
    <w:rsid w:val="0064095A"/>
    <w:rsid w:val="00681ED4"/>
    <w:rsid w:val="0068223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B45E0"/>
    <w:rsid w:val="009C699D"/>
    <w:rsid w:val="009E0FA4"/>
    <w:rsid w:val="009F69AA"/>
    <w:rsid w:val="00A26B6B"/>
    <w:rsid w:val="00A31471"/>
    <w:rsid w:val="00A33B72"/>
    <w:rsid w:val="00A3689A"/>
    <w:rsid w:val="00A453EC"/>
    <w:rsid w:val="00A45C58"/>
    <w:rsid w:val="00A72498"/>
    <w:rsid w:val="00A8565C"/>
    <w:rsid w:val="00A917AC"/>
    <w:rsid w:val="00AB3BA2"/>
    <w:rsid w:val="00AC6C21"/>
    <w:rsid w:val="00AC6DBB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85A66"/>
    <w:rsid w:val="00F95133"/>
    <w:rsid w:val="00F9541F"/>
    <w:rsid w:val="00FA2CB0"/>
    <w:rsid w:val="00FB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2234"/>
    <w:rPr>
      <w:color w:val="0000FF"/>
      <w:u w:val="single"/>
    </w:rPr>
  </w:style>
  <w:style w:type="paragraph" w:styleId="a6">
    <w:name w:val="No Spacing"/>
    <w:uiPriority w:val="1"/>
    <w:qFormat/>
    <w:rsid w:val="00F85A6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cp:lastPrinted>2024-08-26T05:31:00Z</cp:lastPrinted>
  <dcterms:created xsi:type="dcterms:W3CDTF">2024-08-26T05:34:00Z</dcterms:created>
  <dcterms:modified xsi:type="dcterms:W3CDTF">2024-08-26T05:34:00Z</dcterms:modified>
</cp:coreProperties>
</file>