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ПРОЕКТ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АДМИНИСТРАЦИЯ</w:t>
      </w:r>
    </w:p>
    <w:p w:rsidR="00467404" w:rsidRPr="00B2351F" w:rsidRDefault="007A0883" w:rsidP="004674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ТРЕСОРУКОВСКОГО</w:t>
      </w:r>
      <w:r w:rsidR="00467404" w:rsidRPr="00B2351F">
        <w:rPr>
          <w:b/>
          <w:szCs w:val="28"/>
        </w:rPr>
        <w:t xml:space="preserve"> СЕЛЬСКОГО  ПОСЕЛЕНИЯ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ЛИСКИНСКОГО  МУНИЦИПАЛЬНОГО  РАЙОНА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ВОРОНЕЖСКОЙ  ОБЛАСТИ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_____________________________________________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bCs/>
          <w:szCs w:val="28"/>
        </w:rPr>
      </w:pPr>
      <w:r w:rsidRPr="00B2351F">
        <w:rPr>
          <w:b/>
          <w:bCs/>
          <w:szCs w:val="28"/>
        </w:rPr>
        <w:t>ПОСТАНОВЛЕНИЕ</w:t>
      </w:r>
    </w:p>
    <w:p w:rsidR="00467404" w:rsidRPr="00B2351F" w:rsidRDefault="00467404" w:rsidP="00467404">
      <w:pPr>
        <w:pStyle w:val="af1"/>
        <w:jc w:val="center"/>
        <w:rPr>
          <w:b/>
          <w:bCs/>
          <w:spacing w:val="-4"/>
          <w:szCs w:val="28"/>
          <w:u w:val="single"/>
          <w:lang w:eastAsia="ar-SA"/>
        </w:rPr>
      </w:pPr>
      <w:r w:rsidRPr="00B2351F">
        <w:rPr>
          <w:b/>
          <w:spacing w:val="-4"/>
          <w:szCs w:val="28"/>
          <w:u w:val="single"/>
          <w:lang w:eastAsia="ar-SA"/>
        </w:rPr>
        <w:t xml:space="preserve">от                        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20      г.</w:t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  <w:t xml:space="preserve">           №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___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467404" w:rsidRPr="00B2351F" w:rsidTr="00487B00">
        <w:trPr>
          <w:trHeight w:val="218"/>
        </w:trPr>
        <w:tc>
          <w:tcPr>
            <w:tcW w:w="6400" w:type="dxa"/>
          </w:tcPr>
          <w:p w:rsidR="00467404" w:rsidRPr="00B2351F" w:rsidRDefault="00467404" w:rsidP="007A0883">
            <w:pPr>
              <w:pStyle w:val="af1"/>
              <w:ind w:right="-2884"/>
              <w:jc w:val="center"/>
              <w:rPr>
                <w:szCs w:val="28"/>
              </w:rPr>
            </w:pPr>
            <w:r w:rsidRPr="00B2351F">
              <w:rPr>
                <w:szCs w:val="28"/>
              </w:rPr>
              <w:t xml:space="preserve">с. </w:t>
            </w:r>
            <w:r w:rsidR="007A0883">
              <w:rPr>
                <w:szCs w:val="28"/>
              </w:rPr>
              <w:t>Тресоруково</w:t>
            </w:r>
          </w:p>
        </w:tc>
        <w:tc>
          <w:tcPr>
            <w:tcW w:w="3936" w:type="dxa"/>
          </w:tcPr>
          <w:p w:rsidR="00467404" w:rsidRPr="00B2351F" w:rsidRDefault="00467404" w:rsidP="00487B00">
            <w:pPr>
              <w:pStyle w:val="af1"/>
              <w:jc w:val="center"/>
              <w:rPr>
                <w:szCs w:val="28"/>
                <w:lang w:eastAsia="ar-SA"/>
              </w:rPr>
            </w:pPr>
          </w:p>
        </w:tc>
      </w:tr>
    </w:tbl>
    <w:p w:rsidR="00467404" w:rsidRPr="00B2351F" w:rsidRDefault="00467404" w:rsidP="00467404">
      <w:pPr>
        <w:rPr>
          <w:spacing w:val="7"/>
          <w:sz w:val="28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right="4535"/>
        <w:jc w:val="both"/>
        <w:rPr>
          <w:rFonts w:cs="Times New Roman"/>
          <w:b/>
          <w:spacing w:val="7"/>
          <w:szCs w:val="28"/>
        </w:rPr>
      </w:pPr>
      <w:r w:rsidRPr="00467404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Pr="00467404">
        <w:rPr>
          <w:b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b/>
          <w:szCs w:val="28"/>
        </w:rPr>
        <w:t xml:space="preserve">» на территории </w:t>
      </w:r>
      <w:r w:rsidR="007A0883">
        <w:rPr>
          <w:rFonts w:cs="Times New Roman"/>
          <w:b/>
          <w:spacing w:val="7"/>
          <w:szCs w:val="28"/>
        </w:rPr>
        <w:t>Тресоруковского</w:t>
      </w:r>
      <w:r w:rsidRPr="00467404">
        <w:rPr>
          <w:rFonts w:cs="Times New Roman"/>
          <w:b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b/>
          <w:szCs w:val="28"/>
        </w:rPr>
      </w:pPr>
      <w:r w:rsidRPr="00467404">
        <w:rPr>
          <w:rFonts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404">
        <w:rPr>
          <w:rFonts w:cs="Times New Roman"/>
          <w:bCs/>
          <w:szCs w:val="28"/>
        </w:rPr>
        <w:t>,</w:t>
      </w:r>
      <w:r w:rsidRPr="00467404">
        <w:rPr>
          <w:rFonts w:cs="Times New Roman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A0883">
        <w:rPr>
          <w:rFonts w:cs="Times New Roman"/>
          <w:spacing w:val="7"/>
          <w:szCs w:val="28"/>
        </w:rPr>
        <w:t>Тресоруковского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Pr="00467404">
        <w:rPr>
          <w:rFonts w:cs="Times New Roman"/>
          <w:szCs w:val="28"/>
        </w:rPr>
        <w:t xml:space="preserve"> администрация </w:t>
      </w:r>
      <w:r w:rsidR="007A0883">
        <w:rPr>
          <w:rFonts w:cs="Times New Roman"/>
          <w:spacing w:val="7"/>
          <w:szCs w:val="28"/>
        </w:rPr>
        <w:t>Тресоруковского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 </w:t>
      </w:r>
      <w:r w:rsidRPr="00467404">
        <w:rPr>
          <w:rFonts w:cs="Times New Roman"/>
          <w:b/>
          <w:spacing w:val="7"/>
          <w:szCs w:val="28"/>
        </w:rPr>
        <w:t>п о с т а н о в л я е т: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1. Утвердить административный регламент по предоставлению Муниципальной услуги «</w:t>
      </w:r>
      <w:r w:rsidRPr="00F366BC">
        <w:rPr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</w:t>
      </w:r>
      <w:r w:rsidRPr="00F366BC">
        <w:rPr>
          <w:szCs w:val="28"/>
        </w:rPr>
        <w:lastRenderedPageBreak/>
        <w:t>и подлежащим сносу или реконструкции</w:t>
      </w:r>
      <w:r w:rsidRPr="00467404">
        <w:rPr>
          <w:rFonts w:cs="Times New Roman"/>
          <w:szCs w:val="28"/>
        </w:rPr>
        <w:t xml:space="preserve">» на территории </w:t>
      </w:r>
      <w:r w:rsidR="007A0883">
        <w:rPr>
          <w:rFonts w:cs="Times New Roman"/>
          <w:spacing w:val="7"/>
          <w:szCs w:val="28"/>
        </w:rPr>
        <w:t>Тресоруковского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cs="Times New Roman"/>
          <w:spacing w:val="7"/>
          <w:szCs w:val="28"/>
        </w:rPr>
        <w:t>»</w:t>
      </w:r>
      <w:r w:rsidRPr="00467404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2. Настоящее постановление вступает силу со дня его официального опубликования. 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3. Контроль за исполнением настоящего постановления оставляю за собой.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</w:tblGrid>
      <w:tr w:rsidR="00467404" w:rsidRPr="00467404" w:rsidTr="00487B00">
        <w:tc>
          <w:tcPr>
            <w:tcW w:w="3284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</w:tr>
    </w:tbl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Глава </w:t>
      </w:r>
      <w:r w:rsidR="007A0883">
        <w:rPr>
          <w:rFonts w:cs="Times New Roman"/>
          <w:szCs w:val="28"/>
        </w:rPr>
        <w:t>Тресоруковского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сельского поселения</w:t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="007A0883">
        <w:rPr>
          <w:rFonts w:cs="Times New Roman"/>
          <w:szCs w:val="28"/>
        </w:rPr>
        <w:t>Н.А.Минько</w:t>
      </w: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E15B91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E15B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2.85pt;margin-top:542.4pt;width:285.15pt;height:12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yzKQbOAAAAANAQAADwAAAAAAAAAAAAAAAAAmBQAAZHJzL2Rvd25y&#10;ZXYueG1sUEsFBgAAAAAEAAQA8wAAADMGAAAAAA==&#10;" filled="f" stroked="f">
            <v:textbox>
              <w:txbxContent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szCs w:val="28"/>
                    </w:rPr>
                  </w:pPr>
                  <w:r w:rsidRPr="002D1A09">
                    <w:t>Приложение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color w:val="000000"/>
                      <w:szCs w:val="28"/>
                    </w:rPr>
                  </w:pPr>
                  <w:r w:rsidRPr="002D1A09">
                    <w:rPr>
                      <w:rStyle w:val="20"/>
                      <w:color w:val="000000"/>
                      <w:szCs w:val="28"/>
                    </w:rPr>
                    <w:t>УТВЕРЖДЕНО</w:t>
                  </w:r>
                  <w:r w:rsidRPr="002D1A09">
                    <w:rPr>
                      <w:b/>
                      <w:color w:val="000000"/>
                    </w:rPr>
                    <w:br/>
                  </w:r>
                  <w:r w:rsidRPr="002D1A09">
                    <w:rPr>
                      <w:rStyle w:val="20"/>
                      <w:color w:val="000000"/>
                      <w:szCs w:val="28"/>
                    </w:rPr>
                    <w:t>постановлением администрации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Селявинского сельского поселения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Лискинского муниципального района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szCs w:val="28"/>
                    </w:rPr>
                  </w:pPr>
                  <w:r w:rsidRPr="002D1A09">
                    <w:t>Воронежской области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от _____________ № ____</w:t>
                  </w:r>
                  <w:r w:rsidRPr="002D1A09">
                    <w:br/>
                  </w: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Pr="008F3661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  <w:r>
                    <w:t>Е.А. Буйволовой</w:t>
                  </w: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</w:txbxContent>
            </v:textbox>
          </v:shape>
        </w:pic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E15B91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 id="Надпись 2" o:spid="_x0000_s1027" type="#_x0000_t202" style="position:absolute;left:0;text-align:left;margin-left:205.85pt;margin-top:5.05pt;width:295.6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nV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" filled="f" stroked="f">
            <v:textbox>
              <w:txbxContent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Приложение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7404"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  <w:r w:rsidRPr="00467404">
                    <w:rPr>
                      <w:rFonts w:cs="Times New Roman"/>
                      <w:color w:val="000000"/>
                      <w:szCs w:val="28"/>
                    </w:rPr>
                    <w:br/>
                  </w:r>
                  <w:r w:rsidRPr="00467404"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467404" w:rsidRPr="00467404" w:rsidRDefault="007A0883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Тресоруковского</w:t>
                  </w:r>
                  <w:r w:rsidR="00467404" w:rsidRPr="00467404">
                    <w:rPr>
                      <w:rFonts w:cs="Times New Roman"/>
                      <w:szCs w:val="28"/>
                    </w:rPr>
                    <w:t xml:space="preserve"> сельского поселения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Лискинского муниципального района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Воронежской области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от _____________ № ____</w:t>
                  </w:r>
                  <w:r w:rsidRPr="00467404">
                    <w:rPr>
                      <w:rFonts w:cs="Times New Roman"/>
                      <w:szCs w:val="28"/>
                    </w:rPr>
                    <w:br/>
                  </w: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Pr="008F3661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  <w:r>
                    <w:t>Е.А. Буйволовой</w:t>
                  </w: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</w:txbxContent>
            </v:textbox>
          </v:shape>
        </w:pic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B5205D" w:rsidRDefault="00D233F7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05D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5205D" w:rsidRPr="00B5205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A0883">
        <w:rPr>
          <w:rFonts w:ascii="Times New Roman" w:hAnsi="Times New Roman"/>
          <w:b/>
          <w:spacing w:val="7"/>
          <w:sz w:val="28"/>
          <w:szCs w:val="28"/>
        </w:rPr>
        <w:t>Тресоруковского</w:t>
      </w:r>
      <w:r w:rsidR="00B5205D" w:rsidRPr="00B5205D">
        <w:rPr>
          <w:rFonts w:ascii="Times New Roman" w:hAnsi="Times New Roman"/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ascii="Times New Roman" w:hAnsi="Times New Roman"/>
          <w:b/>
          <w:spacing w:val="7"/>
          <w:sz w:val="28"/>
          <w:szCs w:val="28"/>
        </w:rPr>
        <w:t>»</w:t>
      </w:r>
    </w:p>
    <w:p w:rsidR="00DC3566" w:rsidRPr="00B5205D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2F07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="002F07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577F" w:rsidRDefault="008467AA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007B70" w:rsidRPr="00D40DB4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Pr="00F366BC" w:rsidRDefault="00F366BC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F36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6BC" w:rsidRP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3A7CA8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>сотрудником</w:t>
      </w:r>
      <w:r w:rsidR="00E168D6">
        <w:rPr>
          <w:rFonts w:ascii="Times New Roman" w:eastAsia="Calibri" w:hAnsi="Times New Roman"/>
          <w:sz w:val="28"/>
          <w:szCs w:val="28"/>
        </w:rPr>
        <w:t xml:space="preserve"> МФЦ</w:t>
      </w:r>
      <w:r w:rsidR="00103C60"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>ной почты Управления по строительству</w:t>
      </w:r>
      <w:r w:rsidRPr="00F366BC">
        <w:rPr>
          <w:rFonts w:ascii="Times New Roman" w:hAnsi="Times New Roman"/>
          <w:sz w:val="28"/>
          <w:szCs w:val="28"/>
        </w:rPr>
        <w:t xml:space="preserve"> 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892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C8F" w:rsidRPr="00F366BC" w:rsidRDefault="007F4C8F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</w:p>
    <w:p w:rsidR="00401D08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F366BC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F366BC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F34E54" w:rsidRPr="00F366BC" w:rsidRDefault="00F34E54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CB5599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39030C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851EBE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F3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B06983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9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01BC7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5B64C6" w:rsidRPr="00F366BC" w:rsidRDefault="00EC49DF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2" w:name="P212"/>
      <w:bookmarkEnd w:id="2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19"/>
      <w:bookmarkEnd w:id="3"/>
    </w:p>
    <w:p w:rsidR="003F7881" w:rsidRDefault="003F7881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7881" w:rsidRDefault="00F46C3D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46C3D" w:rsidRPr="00F366BC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Default="00DE78E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7A52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257A52" w:rsidRPr="00F366BC" w:rsidRDefault="00D077AA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B67044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798/пр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 тифлосурдопереводчика;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>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D077AA" w:rsidRDefault="00D077AA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6033B5" w:rsidRPr="00F366BC" w:rsidRDefault="006033B5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033B5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 xml:space="preserve">3. Принятие решения </w:t>
      </w:r>
      <w:r w:rsidR="006033B5" w:rsidRPr="006033B5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033B5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6033B5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EE7049">
        <w:rPr>
          <w:rFonts w:ascii="Times New Roman" w:hAnsi="Times New Roman"/>
          <w:sz w:val="28"/>
          <w:szCs w:val="28"/>
        </w:rPr>
        <w:t>признани</w:t>
      </w:r>
      <w:r w:rsidR="00EE7049">
        <w:rPr>
          <w:rFonts w:ascii="Times New Roman" w:hAnsi="Times New Roman"/>
          <w:sz w:val="28"/>
          <w:szCs w:val="28"/>
        </w:rPr>
        <w:t>е</w:t>
      </w:r>
      <w:r w:rsidR="00EE7049"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необходимых для принятия решения о </w:t>
      </w:r>
      <w:r w:rsidR="00EE7049"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</w:t>
      </w:r>
      <w:r w:rsidR="00B716E0" w:rsidRPr="00F366B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F366BC">
        <w:rPr>
          <w:rFonts w:ascii="Times New Roman" w:hAnsi="Times New Roman"/>
          <w:sz w:val="28"/>
          <w:szCs w:val="28"/>
        </w:rPr>
        <w:t xml:space="preserve">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этом в заявлении указано получение</w:t>
      </w:r>
      <w:r w:rsidR="004E1A1C" w:rsidRPr="00F366BC">
        <w:rPr>
          <w:rFonts w:ascii="Times New Roman" w:hAnsi="Times New Roman"/>
          <w:sz w:val="28"/>
          <w:szCs w:val="28"/>
        </w:rPr>
        <w:t xml:space="preserve"> 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F366BC">
        <w:rPr>
          <w:rFonts w:ascii="Times New Roman" w:hAnsi="Times New Roman"/>
          <w:sz w:val="28"/>
          <w:szCs w:val="28"/>
        </w:rPr>
        <w:t xml:space="preserve"> впризнании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F366BC">
        <w:rPr>
          <w:rFonts w:ascii="Times New Roman" w:hAnsi="Times New Roman"/>
          <w:sz w:val="28"/>
          <w:szCs w:val="28"/>
        </w:rPr>
        <w:t>ых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F366BC">
        <w:rPr>
          <w:rFonts w:ascii="Times New Roman" w:hAnsi="Times New Roman"/>
          <w:sz w:val="28"/>
          <w:szCs w:val="28"/>
        </w:rPr>
        <w:t>ов</w:t>
      </w:r>
      <w:r w:rsidRPr="00F366BC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согласия и отсутствия замечаний к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>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органадля направления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F366BC">
        <w:rPr>
          <w:rFonts w:ascii="Times New Roman" w:hAnsi="Times New Roman"/>
          <w:sz w:val="28"/>
          <w:szCs w:val="28"/>
        </w:rPr>
        <w:t xml:space="preserve"> впризнании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F366BC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</w:t>
      </w:r>
      <w:r w:rsidR="002D335B" w:rsidRPr="00F366BC">
        <w:rPr>
          <w:rFonts w:ascii="Times New Roman" w:hAnsi="Times New Roman"/>
          <w:sz w:val="28"/>
          <w:szCs w:val="28"/>
        </w:rPr>
        <w:t xml:space="preserve"> решение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и передает их</w:t>
      </w:r>
      <w:r w:rsidR="00DA3CEB" w:rsidRPr="00F366BC">
        <w:rPr>
          <w:rFonts w:ascii="Times New Roman" w:hAnsi="Times New Roman"/>
          <w:sz w:val="28"/>
          <w:szCs w:val="28"/>
        </w:rPr>
        <w:t xml:space="preserve"> курирующему</w:t>
      </w:r>
      <w:r w:rsidRPr="00F366BC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образования(далее – уполномоченное лицо), для подписания;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решение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выдачи </w:t>
      </w:r>
      <w:r w:rsidR="002222D7" w:rsidRPr="00F366BC">
        <w:rPr>
          <w:rFonts w:ascii="Times New Roman" w:hAnsi="Times New Roman"/>
          <w:sz w:val="28"/>
          <w:szCs w:val="28"/>
        </w:rPr>
        <w:t>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уполномоченное лицо подписывает </w:t>
      </w:r>
      <w:r w:rsidR="002222D7" w:rsidRPr="00F366BC">
        <w:rPr>
          <w:rFonts w:ascii="Times New Roman" w:hAnsi="Times New Roman"/>
          <w:sz w:val="28"/>
          <w:szCs w:val="28"/>
        </w:rPr>
        <w:t>решение</w:t>
      </w:r>
      <w:r w:rsidRPr="00F366BC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либо проект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формирует и направляет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F366BC">
        <w:rPr>
          <w:rFonts w:ascii="Times New Roman" w:hAnsi="Times New Roman"/>
          <w:sz w:val="28"/>
          <w:szCs w:val="28"/>
        </w:rPr>
        <w:t xml:space="preserve"> 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заявитель предъявляет следующие документы: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F366B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F366BC">
        <w:rPr>
          <w:rFonts w:ascii="Times New Roman" w:hAnsi="Times New Roman"/>
          <w:sz w:val="28"/>
          <w:szCs w:val="28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</w:t>
      </w:r>
      <w:r w:rsidR="005D25E8" w:rsidRPr="00F366BC">
        <w:rPr>
          <w:rFonts w:ascii="Times New Roman" w:hAnsi="Times New Roman"/>
          <w:sz w:val="28"/>
          <w:szCs w:val="28"/>
        </w:rPr>
        <w:t xml:space="preserve"> решения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,РПГУ в форме электронного документа.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,РПГУ, о чем составляется акт.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отказ найма сканируется и направляется заявителю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либо направляется в форме электронного документа, подписанного электронной подписью в личный кабинет заявителя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 Оригинал решения заявитель вправе забрать в уполномоченном органе.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выданныхв результате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</w:t>
      </w:r>
      <w:r w:rsidRPr="00F366B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F366BC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>, РПГУ.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="00C83DF4" w:rsidRPr="00E03E89">
        <w:rPr>
          <w:rFonts w:ascii="Times New Roman" w:hAnsi="Times New Roman"/>
          <w:sz w:val="28"/>
          <w:szCs w:val="28"/>
        </w:rPr>
        <w:t>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РПГУ, а также может быть принята при личном приеме заявителя.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:rsidR="00C83DF4" w:rsidRPr="008F3ACE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C83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3D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и их должностных лиц, а также государственных гражданских служащих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при предоставлении государственных услуг».</w:t>
      </w:r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6.1.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3DF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</w:t>
            </w:r>
            <w:r w:rsidR="00467404">
              <w:rPr>
                <w:rFonts w:cs="Times New Roman"/>
                <w:sz w:val="22"/>
                <w:szCs w:val="28"/>
              </w:rPr>
              <w:t>ивному регламенту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(ки)_____________________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AD4480" w:rsidRPr="00F366BC" w:rsidRDefault="00295C1E" w:rsidP="00D233F7">
      <w:pPr>
        <w:pStyle w:val="af1"/>
        <w:ind w:left="4253"/>
        <w:jc w:val="right"/>
        <w:rPr>
          <w:rFonts w:cs="Times New Roman"/>
          <w:bCs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пригодным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(реквизиты заявителя: ф.и.о. и адрес - для физического лица,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(адрес, принадлежность помещения, кадастровый номер, год ввода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здания,   оборудования   и   механизмов   и   прилегающей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467404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к административному регламенту 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в) перечень   других   материалов,   запрошенных  межведомственной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FE0" w:rsidRDefault="00032FE0" w:rsidP="008E6096">
      <w:pPr>
        <w:spacing w:after="0" w:line="240" w:lineRule="auto"/>
      </w:pPr>
      <w:r>
        <w:separator/>
      </w:r>
    </w:p>
  </w:endnote>
  <w:endnote w:type="continuationSeparator" w:id="1">
    <w:p w:rsidR="00032FE0" w:rsidRDefault="00032FE0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FE0" w:rsidRDefault="00032FE0" w:rsidP="008E6096">
      <w:pPr>
        <w:spacing w:after="0" w:line="240" w:lineRule="auto"/>
      </w:pPr>
      <w:r>
        <w:separator/>
      </w:r>
    </w:p>
  </w:footnote>
  <w:footnote w:type="continuationSeparator" w:id="1">
    <w:p w:rsidR="00032FE0" w:rsidRDefault="00032FE0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2FE0"/>
    <w:rsid w:val="00034D0F"/>
    <w:rsid w:val="00035910"/>
    <w:rsid w:val="00041473"/>
    <w:rsid w:val="00041CED"/>
    <w:rsid w:val="0005681F"/>
    <w:rsid w:val="00063CA1"/>
    <w:rsid w:val="00063F07"/>
    <w:rsid w:val="000647D1"/>
    <w:rsid w:val="00066A59"/>
    <w:rsid w:val="00067560"/>
    <w:rsid w:val="00075FD9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775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A7CA8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67404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0883"/>
    <w:rsid w:val="007A115C"/>
    <w:rsid w:val="007B561A"/>
    <w:rsid w:val="007C57E3"/>
    <w:rsid w:val="007C75DA"/>
    <w:rsid w:val="007D14F6"/>
    <w:rsid w:val="007D26DA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46B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983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05D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49C4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A7471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5B91"/>
    <w:rsid w:val="00E168D6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938ECC2F17F001F19C2F02E19EFEDE6A2VAm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EBDD-F15A-4CF9-B86F-DAF42E5C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15214</Words>
  <Characters>86721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Инна</cp:lastModifiedBy>
  <cp:revision>2</cp:revision>
  <cp:lastPrinted>2020-10-05T06:58:00Z</cp:lastPrinted>
  <dcterms:created xsi:type="dcterms:W3CDTF">2023-10-24T13:59:00Z</dcterms:created>
  <dcterms:modified xsi:type="dcterms:W3CDTF">2023-10-24T13:59:00Z</dcterms:modified>
</cp:coreProperties>
</file>